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A0E" w:rsidRPr="00D15A0E" w:rsidRDefault="00D15A0E" w:rsidP="00D15A0E">
      <w:pPr>
        <w:pStyle w:val="Heading1"/>
        <w:jc w:val="center"/>
        <w:rPr>
          <w:rFonts w:eastAsia="Times New Roman"/>
          <w:b/>
          <w:color w:val="auto"/>
        </w:rPr>
      </w:pPr>
      <w:r w:rsidRPr="00D15A0E">
        <w:rPr>
          <w:rFonts w:eastAsia="Times New Roman"/>
          <w:b/>
          <w:color w:val="auto"/>
        </w:rPr>
        <w:t>Causes of Wrongful Convictions</w:t>
      </w:r>
    </w:p>
    <w:p w:rsidR="00D15A0E" w:rsidRPr="00D15A0E" w:rsidRDefault="00D15A0E" w:rsidP="00D15A0E">
      <w:pPr>
        <w:spacing w:before="100" w:beforeAutospacing="1" w:after="100" w:afterAutospacing="1" w:line="240" w:lineRule="auto"/>
        <w:rPr>
          <w:rFonts w:eastAsia="Times New Roman" w:cs="Times New Roman"/>
          <w:sz w:val="24"/>
          <w:szCs w:val="24"/>
        </w:rPr>
      </w:pPr>
      <w:r w:rsidRPr="00D15A0E">
        <w:rPr>
          <w:rFonts w:eastAsia="Times New Roman" w:cs="Times New Roman"/>
          <w:sz w:val="24"/>
          <w:szCs w:val="24"/>
        </w:rPr>
        <w:t xml:space="preserve">The Michigan Innocence Clinic was the first clinic of its kind to work on non-DNA exonerations. Our work has revealed particular circumstances far too often seen in cases of wrongful conviction. These cases show us how the criminal justice system is in need of much repair and how the Michigan Innocence Clinic can combat troubling trends of the system. </w:t>
      </w:r>
      <w:r w:rsidRPr="00D15A0E">
        <w:rPr>
          <w:rFonts w:ascii="MS Gothic" w:eastAsia="MS Gothic" w:hAnsi="MS Gothic" w:cs="MS Gothic" w:hint="eastAsia"/>
          <w:sz w:val="24"/>
          <w:szCs w:val="24"/>
        </w:rPr>
        <w:t> </w:t>
      </w:r>
      <w:r w:rsidRPr="00D15A0E">
        <w:rPr>
          <w:rFonts w:eastAsia="Times New Roman" w:cs="Times New Roman"/>
          <w:sz w:val="24"/>
          <w:szCs w:val="24"/>
        </w:rPr>
        <w:t>In each case we have worked on, we have uncovered overlapping causes of wrongful convictions.</w:t>
      </w:r>
    </w:p>
    <w:p w:rsidR="00D15A0E" w:rsidRPr="00D15A0E" w:rsidRDefault="00D15A0E" w:rsidP="00D15A0E">
      <w:pPr>
        <w:spacing w:before="100" w:beforeAutospacing="1" w:after="100" w:afterAutospacing="1" w:line="240" w:lineRule="auto"/>
        <w:rPr>
          <w:rFonts w:eastAsia="Times New Roman" w:cs="Times New Roman"/>
          <w:sz w:val="24"/>
          <w:szCs w:val="24"/>
        </w:rPr>
      </w:pPr>
      <w:r w:rsidRPr="00D15A0E">
        <w:rPr>
          <w:rFonts w:eastAsia="Times New Roman" w:cs="Times New Roman"/>
          <w:sz w:val="24"/>
          <w:szCs w:val="24"/>
        </w:rPr>
        <w:t xml:space="preserve">Following are common causes¹ of wrongful convictions; these are not the </w:t>
      </w:r>
      <w:r w:rsidRPr="00D15A0E">
        <w:rPr>
          <w:rFonts w:eastAsia="Times New Roman" w:cs="Times New Roman"/>
          <w:i/>
          <w:iCs/>
          <w:sz w:val="24"/>
          <w:szCs w:val="24"/>
        </w:rPr>
        <w:t>only</w:t>
      </w:r>
      <w:r w:rsidRPr="00D15A0E">
        <w:rPr>
          <w:rFonts w:eastAsia="Times New Roman" w:cs="Times New Roman"/>
          <w:sz w:val="24"/>
          <w:szCs w:val="24"/>
        </w:rPr>
        <w:t xml:space="preserve"> causes, however: </w:t>
      </w:r>
    </w:p>
    <w:p w:rsidR="00D15A0E" w:rsidRPr="0080430F" w:rsidRDefault="00D15A0E" w:rsidP="0080430F">
      <w:pPr>
        <w:pStyle w:val="ListParagraph"/>
        <w:numPr>
          <w:ilvl w:val="0"/>
          <w:numId w:val="1"/>
        </w:numPr>
        <w:spacing w:beforeAutospacing="1" w:after="100" w:afterAutospacing="1" w:line="240" w:lineRule="auto"/>
        <w:rPr>
          <w:rFonts w:eastAsia="Times New Roman" w:cs="Times New Roman"/>
          <w:sz w:val="24"/>
          <w:szCs w:val="24"/>
        </w:rPr>
      </w:pPr>
      <w:r w:rsidRPr="0080430F">
        <w:rPr>
          <w:rFonts w:eastAsia="Times New Roman" w:cs="Times New Roman"/>
          <w:b/>
          <w:bCs/>
          <w:sz w:val="24"/>
          <w:szCs w:val="24"/>
        </w:rPr>
        <w:t>Eyewitness Misidentification</w:t>
      </w:r>
      <w:r w:rsidRPr="0080430F">
        <w:rPr>
          <w:rFonts w:eastAsia="Times New Roman" w:cs="Times New Roman"/>
          <w:sz w:val="24"/>
          <w:szCs w:val="24"/>
        </w:rPr>
        <w:t xml:space="preserve"> Eyewitness misidentification is the single greatest cause of wrongful convictions nationwide. Research shows that the human mind is not like a tape recorder; we neither record events exactly as we see them, nor recall them like a tape that has been rewound. Instead, witness memory is like any other evidence at a crime scene; it must be preserved carefully and retrieved methodically, or it can be contaminated.</w:t>
      </w:r>
    </w:p>
    <w:p w:rsidR="00D15A0E" w:rsidRPr="0080430F" w:rsidRDefault="00D15A0E" w:rsidP="0080430F">
      <w:pPr>
        <w:pStyle w:val="ListParagraph"/>
        <w:numPr>
          <w:ilvl w:val="0"/>
          <w:numId w:val="1"/>
        </w:numPr>
        <w:spacing w:before="100" w:beforeAutospacing="1" w:after="100" w:afterAutospacing="1" w:line="240" w:lineRule="auto"/>
        <w:rPr>
          <w:rFonts w:eastAsia="Times New Roman" w:cs="Times New Roman"/>
          <w:sz w:val="24"/>
          <w:szCs w:val="24"/>
        </w:rPr>
      </w:pPr>
      <w:r w:rsidRPr="0080430F">
        <w:rPr>
          <w:rFonts w:eastAsia="Times New Roman" w:cs="Times New Roman"/>
          <w:b/>
          <w:bCs/>
          <w:sz w:val="24"/>
          <w:szCs w:val="24"/>
        </w:rPr>
        <w:t>Junk Science</w:t>
      </w:r>
      <w:r w:rsidRPr="0080430F">
        <w:rPr>
          <w:rFonts w:eastAsia="Times New Roman" w:cs="Times New Roman"/>
          <w:sz w:val="24"/>
          <w:szCs w:val="24"/>
        </w:rPr>
        <w:t xml:space="preserve"> Many forensic testing methods have been applied with little or no scientific validation and with inadequate assessments of their significance or reliability. As a result, forensic analysts sometimes testify in cases without a proper scientific basis for their findings. And in some cases, forensic analysts have engaged in misconduct.</w:t>
      </w:r>
    </w:p>
    <w:p w:rsidR="00D15A0E" w:rsidRPr="0080430F" w:rsidRDefault="00D15A0E" w:rsidP="0080430F">
      <w:pPr>
        <w:pStyle w:val="ListParagraph"/>
        <w:numPr>
          <w:ilvl w:val="0"/>
          <w:numId w:val="1"/>
        </w:numPr>
        <w:spacing w:before="100" w:beforeAutospacing="1" w:after="100" w:afterAutospacing="1" w:line="240" w:lineRule="auto"/>
        <w:rPr>
          <w:rFonts w:eastAsia="Times New Roman" w:cs="Times New Roman"/>
          <w:sz w:val="24"/>
          <w:szCs w:val="24"/>
        </w:rPr>
      </w:pPr>
      <w:r w:rsidRPr="0080430F">
        <w:rPr>
          <w:rFonts w:eastAsia="Times New Roman" w:cs="Times New Roman"/>
          <w:b/>
          <w:bCs/>
          <w:sz w:val="24"/>
          <w:szCs w:val="24"/>
        </w:rPr>
        <w:t>False Confessions</w:t>
      </w:r>
      <w:r w:rsidRPr="0080430F">
        <w:rPr>
          <w:rFonts w:eastAsia="Times New Roman" w:cs="Times New Roman"/>
          <w:sz w:val="24"/>
          <w:szCs w:val="24"/>
        </w:rPr>
        <w:t xml:space="preserve"> </w:t>
      </w:r>
      <w:proofErr w:type="gramStart"/>
      <w:r w:rsidRPr="0080430F">
        <w:rPr>
          <w:rFonts w:eastAsia="Times New Roman" w:cs="Times New Roman"/>
          <w:sz w:val="24"/>
          <w:szCs w:val="24"/>
        </w:rPr>
        <w:t>In</w:t>
      </w:r>
      <w:proofErr w:type="gramEnd"/>
      <w:r w:rsidRPr="0080430F">
        <w:rPr>
          <w:rFonts w:eastAsia="Times New Roman" w:cs="Times New Roman"/>
          <w:sz w:val="24"/>
          <w:szCs w:val="24"/>
        </w:rPr>
        <w:t xml:space="preserve"> many cases, innocent defendants make incriminating statements, deliver outright confessions, or plead guilty. Regardless of the age, capacity, or state of the confessor, what they often have in common is a decision—at some point during the interrogation process—that confessing will be more beneficial to them than continuing to maintain their innocence. </w:t>
      </w:r>
    </w:p>
    <w:p w:rsidR="00D15A0E" w:rsidRPr="0080430F" w:rsidRDefault="00D15A0E" w:rsidP="0080430F">
      <w:pPr>
        <w:pStyle w:val="ListParagraph"/>
        <w:numPr>
          <w:ilvl w:val="0"/>
          <w:numId w:val="1"/>
        </w:numPr>
        <w:spacing w:before="100" w:beforeAutospacing="1" w:after="100" w:afterAutospacing="1" w:line="240" w:lineRule="auto"/>
        <w:rPr>
          <w:rFonts w:eastAsia="Times New Roman" w:cs="Times New Roman"/>
          <w:sz w:val="24"/>
          <w:szCs w:val="24"/>
        </w:rPr>
      </w:pPr>
      <w:r w:rsidRPr="0080430F">
        <w:rPr>
          <w:rFonts w:eastAsia="Times New Roman" w:cs="Times New Roman"/>
          <w:b/>
          <w:bCs/>
          <w:sz w:val="24"/>
          <w:szCs w:val="24"/>
        </w:rPr>
        <w:t>Government Misconduct</w:t>
      </w:r>
      <w:r w:rsidRPr="0080430F">
        <w:rPr>
          <w:rFonts w:eastAsia="Times New Roman" w:cs="Times New Roman"/>
          <w:sz w:val="24"/>
          <w:szCs w:val="24"/>
        </w:rPr>
        <w:t xml:space="preserve"> </w:t>
      </w:r>
      <w:proofErr w:type="gramStart"/>
      <w:r w:rsidRPr="0080430F">
        <w:rPr>
          <w:rFonts w:eastAsia="Times New Roman" w:cs="Times New Roman"/>
          <w:sz w:val="24"/>
          <w:szCs w:val="24"/>
        </w:rPr>
        <w:t>In</w:t>
      </w:r>
      <w:proofErr w:type="gramEnd"/>
      <w:r w:rsidRPr="0080430F">
        <w:rPr>
          <w:rFonts w:eastAsia="Times New Roman" w:cs="Times New Roman"/>
          <w:sz w:val="24"/>
          <w:szCs w:val="24"/>
        </w:rPr>
        <w:t xml:space="preserve"> some cases, government officials take steps to ensure that a defendant is convicted despite weak evidence or even clear proof of innocence. </w:t>
      </w:r>
    </w:p>
    <w:p w:rsidR="00D15A0E" w:rsidRPr="0080430F" w:rsidRDefault="00D15A0E" w:rsidP="0080430F">
      <w:pPr>
        <w:pStyle w:val="ListParagraph"/>
        <w:numPr>
          <w:ilvl w:val="0"/>
          <w:numId w:val="1"/>
        </w:numPr>
        <w:spacing w:before="100" w:beforeAutospacing="1" w:after="100" w:afterAutospacing="1" w:line="240" w:lineRule="auto"/>
        <w:rPr>
          <w:rFonts w:eastAsia="Times New Roman" w:cs="Times New Roman"/>
          <w:sz w:val="24"/>
          <w:szCs w:val="24"/>
        </w:rPr>
      </w:pPr>
      <w:r w:rsidRPr="0080430F">
        <w:rPr>
          <w:rFonts w:eastAsia="Times New Roman" w:cs="Times New Roman"/>
          <w:b/>
          <w:bCs/>
          <w:sz w:val="24"/>
          <w:szCs w:val="24"/>
        </w:rPr>
        <w:t>Snitches</w:t>
      </w:r>
      <w:r w:rsidRPr="0080430F">
        <w:rPr>
          <w:rFonts w:eastAsia="Times New Roman" w:cs="Times New Roman"/>
          <w:sz w:val="24"/>
          <w:szCs w:val="24"/>
        </w:rPr>
        <w:t xml:space="preserve"> Often, statements from people with incentives to testify—particularly incentives that are not disclosed to the jury—are the central evidence in convicting an innocent person. People have been wrongfully convicted in cases in which snitches are paid to testify or receive favors in return for their testimony. </w:t>
      </w:r>
    </w:p>
    <w:p w:rsidR="00D15A0E" w:rsidRPr="0080430F" w:rsidRDefault="00D15A0E" w:rsidP="0080430F">
      <w:pPr>
        <w:pStyle w:val="ListParagraph"/>
        <w:numPr>
          <w:ilvl w:val="0"/>
          <w:numId w:val="1"/>
        </w:numPr>
        <w:spacing w:before="100" w:beforeAutospacing="1" w:after="100" w:afterAutospacing="1" w:line="240" w:lineRule="auto"/>
        <w:rPr>
          <w:rFonts w:eastAsia="Times New Roman" w:cs="Times New Roman"/>
          <w:sz w:val="24"/>
          <w:szCs w:val="24"/>
        </w:rPr>
      </w:pPr>
      <w:r w:rsidRPr="0080430F">
        <w:rPr>
          <w:rFonts w:eastAsia="Times New Roman" w:cs="Times New Roman"/>
          <w:b/>
          <w:bCs/>
          <w:sz w:val="24"/>
          <w:szCs w:val="24"/>
        </w:rPr>
        <w:t>Bad Lawyering</w:t>
      </w:r>
      <w:r w:rsidRPr="0080430F">
        <w:rPr>
          <w:rFonts w:eastAsia="Times New Roman" w:cs="Times New Roman"/>
          <w:sz w:val="24"/>
          <w:szCs w:val="24"/>
        </w:rPr>
        <w:t xml:space="preserve"> The failure of overworked lawyers to investigate, call witnesses, or prepare for trial has led to the conviction of innocent people. </w:t>
      </w:r>
    </w:p>
    <w:p w:rsidR="00D15A0E" w:rsidRPr="00D15A0E" w:rsidRDefault="00D15A0E" w:rsidP="00D15A0E">
      <w:pPr>
        <w:spacing w:before="100" w:beforeAutospacing="1" w:after="100" w:afterAutospacing="1" w:line="240" w:lineRule="auto"/>
        <w:rPr>
          <w:rFonts w:eastAsia="Times New Roman" w:cs="Times New Roman"/>
          <w:sz w:val="24"/>
          <w:szCs w:val="24"/>
        </w:rPr>
      </w:pPr>
      <w:r w:rsidRPr="00D15A0E">
        <w:rPr>
          <w:rFonts w:eastAsia="Times New Roman" w:cs="Times New Roman"/>
          <w:sz w:val="24"/>
          <w:szCs w:val="24"/>
        </w:rPr>
        <w:t>These factors are not the only causes of wrongful convictions. Each case is unique and many include a combination of issues.</w:t>
      </w:r>
    </w:p>
    <w:p w:rsidR="009A553A" w:rsidRDefault="007D41E2">
      <w:hyperlink r:id="rId5" w:history="1">
        <w:r w:rsidRPr="00F93E72">
          <w:rPr>
            <w:rStyle w:val="Hyperlink"/>
          </w:rPr>
          <w:t>https://www.law.umich.edu/clinical/innocenceclinic/Pages/wrongfulconvictions.aspx</w:t>
        </w:r>
      </w:hyperlink>
    </w:p>
    <w:p w:rsidR="007D41E2" w:rsidRPr="00D15A0E" w:rsidRDefault="007D41E2">
      <w:bookmarkStart w:id="0" w:name="_GoBack"/>
      <w:bookmarkEnd w:id="0"/>
    </w:p>
    <w:p w:rsidR="00D15A0E" w:rsidRDefault="00D15A0E">
      <w:r>
        <w:t xml:space="preserve">According to the University of Michigan’s Exonerations Database, 385 of 1472 exonerations were due in part or in whole to DNA testing.  </w:t>
      </w:r>
    </w:p>
    <w:p w:rsidR="00D15A0E" w:rsidRDefault="00D15A0E">
      <w:r>
        <w:lastRenderedPageBreak/>
        <w:t>The breakdown of contributing factors for the 1472 wrongful convictions include:</w:t>
      </w:r>
    </w:p>
    <w:tbl>
      <w:tblPr>
        <w:tblW w:w="5140" w:type="dxa"/>
        <w:tblInd w:w="2115" w:type="dxa"/>
        <w:tblLook w:val="04A0" w:firstRow="1" w:lastRow="0" w:firstColumn="1" w:lastColumn="0" w:noHBand="0" w:noVBand="1"/>
      </w:tblPr>
      <w:tblGrid>
        <w:gridCol w:w="2020"/>
        <w:gridCol w:w="1560"/>
        <w:gridCol w:w="1560"/>
      </w:tblGrid>
      <w:tr w:rsidR="00F82646" w:rsidRPr="00667EEE" w:rsidTr="005D0EA1">
        <w:trPr>
          <w:trHeight w:val="300"/>
        </w:trPr>
        <w:tc>
          <w:tcPr>
            <w:tcW w:w="2020" w:type="dxa"/>
            <w:tcBorders>
              <w:top w:val="nil"/>
              <w:left w:val="nil"/>
              <w:bottom w:val="nil"/>
              <w:right w:val="nil"/>
            </w:tcBorders>
            <w:shd w:val="clear" w:color="auto" w:fill="auto"/>
            <w:noWrap/>
            <w:vAlign w:val="bottom"/>
          </w:tcPr>
          <w:p w:rsidR="00F82646" w:rsidRPr="00667EEE" w:rsidRDefault="00F82646" w:rsidP="00D15A0E">
            <w:pPr>
              <w:spacing w:after="0" w:line="240" w:lineRule="auto"/>
              <w:rPr>
                <w:rFonts w:ascii="Calibri" w:eastAsia="Times New Roman" w:hAnsi="Calibri" w:cs="Times New Roman"/>
                <w:b/>
                <w:color w:val="000000"/>
              </w:rPr>
            </w:pPr>
            <w:r>
              <w:rPr>
                <w:rFonts w:ascii="Calibri" w:eastAsia="Times New Roman" w:hAnsi="Calibri" w:cs="Times New Roman"/>
                <w:b/>
                <w:color w:val="000000"/>
              </w:rPr>
              <w:t>Factors</w:t>
            </w:r>
          </w:p>
        </w:tc>
        <w:tc>
          <w:tcPr>
            <w:tcW w:w="1560" w:type="dxa"/>
            <w:tcBorders>
              <w:top w:val="nil"/>
              <w:left w:val="nil"/>
              <w:bottom w:val="nil"/>
              <w:right w:val="nil"/>
            </w:tcBorders>
          </w:tcPr>
          <w:p w:rsidR="00F82646" w:rsidRPr="00667EEE" w:rsidRDefault="00F82646" w:rsidP="00D15A0E">
            <w:pPr>
              <w:spacing w:after="0" w:line="240" w:lineRule="auto"/>
              <w:jc w:val="right"/>
              <w:rPr>
                <w:rFonts w:ascii="Calibri" w:eastAsia="Times New Roman" w:hAnsi="Calibri" w:cs="Times New Roman"/>
                <w:b/>
                <w:color w:val="000000"/>
              </w:rPr>
            </w:pPr>
            <w:r>
              <w:rPr>
                <w:rFonts w:ascii="Calibri" w:eastAsia="Times New Roman" w:hAnsi="Calibri" w:cs="Times New Roman"/>
                <w:b/>
                <w:color w:val="000000"/>
              </w:rPr>
              <w:t>Single Cause</w:t>
            </w:r>
          </w:p>
        </w:tc>
        <w:tc>
          <w:tcPr>
            <w:tcW w:w="1560" w:type="dxa"/>
            <w:tcBorders>
              <w:top w:val="nil"/>
              <w:left w:val="nil"/>
              <w:bottom w:val="nil"/>
              <w:right w:val="nil"/>
            </w:tcBorders>
            <w:shd w:val="clear" w:color="auto" w:fill="auto"/>
            <w:noWrap/>
            <w:vAlign w:val="bottom"/>
          </w:tcPr>
          <w:p w:rsidR="00F82646" w:rsidRPr="00667EEE" w:rsidRDefault="00F82646" w:rsidP="00D15A0E">
            <w:pPr>
              <w:spacing w:after="0" w:line="240" w:lineRule="auto"/>
              <w:jc w:val="right"/>
              <w:rPr>
                <w:rFonts w:ascii="Calibri" w:eastAsia="Times New Roman" w:hAnsi="Calibri" w:cs="Times New Roman"/>
                <w:b/>
                <w:color w:val="000000"/>
              </w:rPr>
            </w:pPr>
            <w:r w:rsidRPr="00667EEE">
              <w:rPr>
                <w:rFonts w:ascii="Calibri" w:eastAsia="Times New Roman" w:hAnsi="Calibri" w:cs="Times New Roman"/>
                <w:b/>
                <w:color w:val="000000"/>
              </w:rPr>
              <w:t>Count</w:t>
            </w:r>
          </w:p>
        </w:tc>
      </w:tr>
      <w:tr w:rsidR="00F82646" w:rsidRPr="00D15A0E" w:rsidTr="005D0EA1">
        <w:trPr>
          <w:trHeight w:val="300"/>
        </w:trPr>
        <w:tc>
          <w:tcPr>
            <w:tcW w:w="2020" w:type="dxa"/>
            <w:tcBorders>
              <w:top w:val="nil"/>
              <w:left w:val="nil"/>
              <w:bottom w:val="nil"/>
              <w:right w:val="nil"/>
            </w:tcBorders>
            <w:shd w:val="clear" w:color="auto" w:fill="auto"/>
            <w:noWrap/>
            <w:vAlign w:val="bottom"/>
            <w:hideMark/>
          </w:tcPr>
          <w:p w:rsidR="00F82646" w:rsidRPr="0080430F" w:rsidRDefault="00F82646" w:rsidP="0080430F">
            <w:pPr>
              <w:spacing w:after="0" w:line="240" w:lineRule="auto"/>
              <w:rPr>
                <w:rFonts w:ascii="Calibri" w:eastAsia="Times New Roman" w:hAnsi="Calibri" w:cs="Times New Roman"/>
                <w:color w:val="000000"/>
              </w:rPr>
            </w:pPr>
            <w:r w:rsidRPr="0080430F">
              <w:rPr>
                <w:rFonts w:ascii="Calibri" w:eastAsia="Times New Roman" w:hAnsi="Calibri" w:cs="Times New Roman"/>
                <w:color w:val="000000"/>
              </w:rPr>
              <w:t>1.</w:t>
            </w:r>
            <w:r>
              <w:rPr>
                <w:rFonts w:ascii="Calibri" w:eastAsia="Times New Roman" w:hAnsi="Calibri" w:cs="Times New Roman"/>
                <w:color w:val="000000"/>
              </w:rPr>
              <w:t xml:space="preserve"> </w:t>
            </w:r>
            <w:r w:rsidRPr="0080430F">
              <w:rPr>
                <w:rFonts w:ascii="Calibri" w:eastAsia="Times New Roman" w:hAnsi="Calibri" w:cs="Times New Roman"/>
                <w:color w:val="000000"/>
              </w:rPr>
              <w:t>MWID</w:t>
            </w:r>
          </w:p>
        </w:tc>
        <w:tc>
          <w:tcPr>
            <w:tcW w:w="1560" w:type="dxa"/>
            <w:tcBorders>
              <w:top w:val="nil"/>
              <w:left w:val="nil"/>
              <w:bottom w:val="nil"/>
              <w:right w:val="nil"/>
            </w:tcBorders>
          </w:tcPr>
          <w:p w:rsidR="00F82646" w:rsidRPr="00D15A0E" w:rsidRDefault="00F82646" w:rsidP="00BA1254">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87</w:t>
            </w:r>
          </w:p>
        </w:tc>
        <w:tc>
          <w:tcPr>
            <w:tcW w:w="1560" w:type="dxa"/>
            <w:tcBorders>
              <w:top w:val="nil"/>
              <w:left w:val="nil"/>
              <w:bottom w:val="nil"/>
              <w:right w:val="nil"/>
            </w:tcBorders>
            <w:shd w:val="clear" w:color="auto" w:fill="auto"/>
            <w:noWrap/>
            <w:vAlign w:val="bottom"/>
            <w:hideMark/>
          </w:tcPr>
          <w:p w:rsidR="00F82646" w:rsidRPr="00D15A0E" w:rsidRDefault="00F82646" w:rsidP="00BA1254">
            <w:pPr>
              <w:spacing w:after="0" w:line="240" w:lineRule="auto"/>
              <w:jc w:val="right"/>
              <w:rPr>
                <w:rFonts w:ascii="Calibri" w:eastAsia="Times New Roman" w:hAnsi="Calibri" w:cs="Times New Roman"/>
                <w:color w:val="000000"/>
              </w:rPr>
            </w:pPr>
            <w:r w:rsidRPr="00D15A0E">
              <w:rPr>
                <w:rFonts w:ascii="Calibri" w:eastAsia="Times New Roman" w:hAnsi="Calibri" w:cs="Times New Roman"/>
                <w:color w:val="000000"/>
              </w:rPr>
              <w:t>519</w:t>
            </w:r>
          </w:p>
        </w:tc>
      </w:tr>
      <w:tr w:rsidR="00F82646" w:rsidRPr="00D15A0E" w:rsidTr="005D0EA1">
        <w:trPr>
          <w:trHeight w:val="300"/>
        </w:trPr>
        <w:tc>
          <w:tcPr>
            <w:tcW w:w="2020" w:type="dxa"/>
            <w:tcBorders>
              <w:top w:val="nil"/>
              <w:left w:val="nil"/>
              <w:bottom w:val="nil"/>
              <w:right w:val="nil"/>
            </w:tcBorders>
            <w:shd w:val="clear" w:color="auto" w:fill="auto"/>
            <w:noWrap/>
            <w:vAlign w:val="bottom"/>
            <w:hideMark/>
          </w:tcPr>
          <w:p w:rsidR="00F82646" w:rsidRPr="00D15A0E" w:rsidRDefault="00F82646" w:rsidP="0038590B">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2. </w:t>
            </w:r>
            <w:r w:rsidRPr="00D15A0E">
              <w:rPr>
                <w:rFonts w:ascii="Calibri" w:eastAsia="Times New Roman" w:hAnsi="Calibri" w:cs="Times New Roman"/>
                <w:color w:val="000000"/>
              </w:rPr>
              <w:t>F/MFE</w:t>
            </w:r>
          </w:p>
        </w:tc>
        <w:tc>
          <w:tcPr>
            <w:tcW w:w="1560" w:type="dxa"/>
            <w:tcBorders>
              <w:top w:val="nil"/>
              <w:left w:val="nil"/>
              <w:bottom w:val="nil"/>
              <w:right w:val="nil"/>
            </w:tcBorders>
          </w:tcPr>
          <w:p w:rsidR="00F82646" w:rsidRPr="00D15A0E" w:rsidRDefault="00F82646" w:rsidP="0038590B">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67</w:t>
            </w:r>
          </w:p>
        </w:tc>
        <w:tc>
          <w:tcPr>
            <w:tcW w:w="1560" w:type="dxa"/>
            <w:tcBorders>
              <w:top w:val="nil"/>
              <w:left w:val="nil"/>
              <w:bottom w:val="nil"/>
              <w:right w:val="nil"/>
            </w:tcBorders>
            <w:shd w:val="clear" w:color="auto" w:fill="auto"/>
            <w:noWrap/>
            <w:vAlign w:val="bottom"/>
            <w:hideMark/>
          </w:tcPr>
          <w:p w:rsidR="00F82646" w:rsidRPr="00D15A0E" w:rsidRDefault="00F82646" w:rsidP="0038590B">
            <w:pPr>
              <w:spacing w:after="0" w:line="240" w:lineRule="auto"/>
              <w:jc w:val="right"/>
              <w:rPr>
                <w:rFonts w:ascii="Calibri" w:eastAsia="Times New Roman" w:hAnsi="Calibri" w:cs="Times New Roman"/>
                <w:color w:val="000000"/>
              </w:rPr>
            </w:pPr>
            <w:r w:rsidRPr="00D15A0E">
              <w:rPr>
                <w:rFonts w:ascii="Calibri" w:eastAsia="Times New Roman" w:hAnsi="Calibri" w:cs="Times New Roman"/>
                <w:color w:val="000000"/>
              </w:rPr>
              <w:t>350</w:t>
            </w:r>
          </w:p>
        </w:tc>
      </w:tr>
      <w:tr w:rsidR="00F82646" w:rsidRPr="00667EEE" w:rsidTr="005D0EA1">
        <w:trPr>
          <w:trHeight w:val="300"/>
        </w:trPr>
        <w:tc>
          <w:tcPr>
            <w:tcW w:w="2020" w:type="dxa"/>
            <w:tcBorders>
              <w:top w:val="nil"/>
              <w:left w:val="nil"/>
              <w:bottom w:val="nil"/>
              <w:right w:val="nil"/>
            </w:tcBorders>
            <w:shd w:val="clear" w:color="auto" w:fill="auto"/>
            <w:noWrap/>
            <w:vAlign w:val="bottom"/>
          </w:tcPr>
          <w:p w:rsidR="00F82646" w:rsidRPr="00D15A0E" w:rsidRDefault="00F82646" w:rsidP="0080430F">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3. </w:t>
            </w:r>
            <w:r w:rsidRPr="00D15A0E">
              <w:rPr>
                <w:rFonts w:ascii="Calibri" w:eastAsia="Times New Roman" w:hAnsi="Calibri" w:cs="Times New Roman"/>
                <w:color w:val="000000"/>
              </w:rPr>
              <w:t>FC</w:t>
            </w:r>
          </w:p>
        </w:tc>
        <w:tc>
          <w:tcPr>
            <w:tcW w:w="1560" w:type="dxa"/>
            <w:tcBorders>
              <w:top w:val="nil"/>
              <w:left w:val="nil"/>
              <w:bottom w:val="nil"/>
              <w:right w:val="nil"/>
            </w:tcBorders>
          </w:tcPr>
          <w:p w:rsidR="00F82646" w:rsidRPr="00D15A0E" w:rsidRDefault="00F82646" w:rsidP="0080430F">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21</w:t>
            </w:r>
          </w:p>
        </w:tc>
        <w:tc>
          <w:tcPr>
            <w:tcW w:w="1560" w:type="dxa"/>
            <w:tcBorders>
              <w:top w:val="nil"/>
              <w:left w:val="nil"/>
              <w:bottom w:val="nil"/>
              <w:right w:val="nil"/>
            </w:tcBorders>
            <w:shd w:val="clear" w:color="auto" w:fill="auto"/>
            <w:noWrap/>
            <w:vAlign w:val="bottom"/>
          </w:tcPr>
          <w:p w:rsidR="00F82646" w:rsidRPr="00D15A0E" w:rsidRDefault="00F82646" w:rsidP="0080430F">
            <w:pPr>
              <w:spacing w:after="0" w:line="240" w:lineRule="auto"/>
              <w:jc w:val="right"/>
              <w:rPr>
                <w:rFonts w:ascii="Calibri" w:eastAsia="Times New Roman" w:hAnsi="Calibri" w:cs="Times New Roman"/>
                <w:color w:val="000000"/>
              </w:rPr>
            </w:pPr>
            <w:r w:rsidRPr="00D15A0E">
              <w:rPr>
                <w:rFonts w:ascii="Calibri" w:eastAsia="Times New Roman" w:hAnsi="Calibri" w:cs="Times New Roman"/>
                <w:color w:val="000000"/>
              </w:rPr>
              <w:t>194</w:t>
            </w:r>
          </w:p>
        </w:tc>
      </w:tr>
      <w:tr w:rsidR="00F82646" w:rsidRPr="00D15A0E" w:rsidTr="005D0EA1">
        <w:trPr>
          <w:trHeight w:val="300"/>
        </w:trPr>
        <w:tc>
          <w:tcPr>
            <w:tcW w:w="2020" w:type="dxa"/>
            <w:tcBorders>
              <w:top w:val="nil"/>
              <w:left w:val="nil"/>
              <w:bottom w:val="nil"/>
              <w:right w:val="nil"/>
            </w:tcBorders>
            <w:shd w:val="clear" w:color="auto" w:fill="auto"/>
            <w:noWrap/>
            <w:vAlign w:val="bottom"/>
            <w:hideMark/>
          </w:tcPr>
          <w:p w:rsidR="00F82646" w:rsidRPr="00D15A0E" w:rsidRDefault="00F82646" w:rsidP="00BA1254">
            <w:pPr>
              <w:spacing w:after="0" w:line="240" w:lineRule="auto"/>
              <w:rPr>
                <w:rFonts w:ascii="Calibri" w:eastAsia="Times New Roman" w:hAnsi="Calibri" w:cs="Times New Roman"/>
                <w:color w:val="000000"/>
              </w:rPr>
            </w:pPr>
            <w:r>
              <w:rPr>
                <w:rFonts w:ascii="Calibri" w:eastAsia="Times New Roman" w:hAnsi="Calibri" w:cs="Times New Roman"/>
                <w:color w:val="000000"/>
              </w:rPr>
              <w:t>4.</w:t>
            </w:r>
            <w:r w:rsidRPr="00D15A0E">
              <w:rPr>
                <w:rFonts w:ascii="Calibri" w:eastAsia="Times New Roman" w:hAnsi="Calibri" w:cs="Times New Roman"/>
                <w:color w:val="000000"/>
              </w:rPr>
              <w:t>OM</w:t>
            </w:r>
          </w:p>
        </w:tc>
        <w:tc>
          <w:tcPr>
            <w:tcW w:w="1560" w:type="dxa"/>
            <w:tcBorders>
              <w:top w:val="nil"/>
              <w:left w:val="nil"/>
              <w:bottom w:val="nil"/>
              <w:right w:val="nil"/>
            </w:tcBorders>
          </w:tcPr>
          <w:p w:rsidR="00F82646" w:rsidRPr="00D15A0E" w:rsidRDefault="00F82646" w:rsidP="00BA1254">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32</w:t>
            </w:r>
          </w:p>
        </w:tc>
        <w:tc>
          <w:tcPr>
            <w:tcW w:w="1560" w:type="dxa"/>
            <w:tcBorders>
              <w:top w:val="nil"/>
              <w:left w:val="nil"/>
              <w:bottom w:val="nil"/>
              <w:right w:val="nil"/>
            </w:tcBorders>
            <w:shd w:val="clear" w:color="auto" w:fill="auto"/>
            <w:noWrap/>
            <w:vAlign w:val="bottom"/>
            <w:hideMark/>
          </w:tcPr>
          <w:p w:rsidR="00F82646" w:rsidRPr="00D15A0E" w:rsidRDefault="00F82646" w:rsidP="00BA1254">
            <w:pPr>
              <w:spacing w:after="0" w:line="240" w:lineRule="auto"/>
              <w:jc w:val="right"/>
              <w:rPr>
                <w:rFonts w:ascii="Calibri" w:eastAsia="Times New Roman" w:hAnsi="Calibri" w:cs="Times New Roman"/>
                <w:color w:val="000000"/>
              </w:rPr>
            </w:pPr>
            <w:r w:rsidRPr="00D15A0E">
              <w:rPr>
                <w:rFonts w:ascii="Calibri" w:eastAsia="Times New Roman" w:hAnsi="Calibri" w:cs="Times New Roman"/>
                <w:color w:val="000000"/>
              </w:rPr>
              <w:t>700</w:t>
            </w:r>
          </w:p>
        </w:tc>
      </w:tr>
      <w:tr w:rsidR="00F82646" w:rsidRPr="00D15A0E" w:rsidTr="005D0EA1">
        <w:trPr>
          <w:trHeight w:val="300"/>
        </w:trPr>
        <w:tc>
          <w:tcPr>
            <w:tcW w:w="2020" w:type="dxa"/>
            <w:tcBorders>
              <w:top w:val="nil"/>
              <w:left w:val="nil"/>
              <w:bottom w:val="nil"/>
              <w:right w:val="nil"/>
            </w:tcBorders>
            <w:shd w:val="clear" w:color="auto" w:fill="auto"/>
            <w:noWrap/>
            <w:vAlign w:val="bottom"/>
            <w:hideMark/>
          </w:tcPr>
          <w:p w:rsidR="00F82646" w:rsidRPr="00D15A0E" w:rsidRDefault="00F82646" w:rsidP="00BA1254">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5. </w:t>
            </w:r>
            <w:r w:rsidRPr="00D15A0E">
              <w:rPr>
                <w:rFonts w:ascii="Calibri" w:eastAsia="Times New Roman" w:hAnsi="Calibri" w:cs="Times New Roman"/>
                <w:color w:val="000000"/>
              </w:rPr>
              <w:t>P/FA</w:t>
            </w:r>
          </w:p>
        </w:tc>
        <w:tc>
          <w:tcPr>
            <w:tcW w:w="1560" w:type="dxa"/>
            <w:tcBorders>
              <w:top w:val="nil"/>
              <w:left w:val="nil"/>
              <w:bottom w:val="nil"/>
              <w:right w:val="nil"/>
            </w:tcBorders>
          </w:tcPr>
          <w:p w:rsidR="00F82646" w:rsidRPr="00D15A0E" w:rsidRDefault="00F82646" w:rsidP="00BA1254">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145</w:t>
            </w:r>
          </w:p>
        </w:tc>
        <w:tc>
          <w:tcPr>
            <w:tcW w:w="1560" w:type="dxa"/>
            <w:tcBorders>
              <w:top w:val="nil"/>
              <w:left w:val="nil"/>
              <w:bottom w:val="nil"/>
              <w:right w:val="nil"/>
            </w:tcBorders>
            <w:shd w:val="clear" w:color="auto" w:fill="auto"/>
            <w:noWrap/>
            <w:vAlign w:val="bottom"/>
            <w:hideMark/>
          </w:tcPr>
          <w:p w:rsidR="00F82646" w:rsidRPr="00D15A0E" w:rsidRDefault="00F82646" w:rsidP="00BA1254">
            <w:pPr>
              <w:spacing w:after="0" w:line="240" w:lineRule="auto"/>
              <w:jc w:val="right"/>
              <w:rPr>
                <w:rFonts w:ascii="Calibri" w:eastAsia="Times New Roman" w:hAnsi="Calibri" w:cs="Times New Roman"/>
                <w:color w:val="000000"/>
              </w:rPr>
            </w:pPr>
            <w:r w:rsidRPr="00D15A0E">
              <w:rPr>
                <w:rFonts w:ascii="Calibri" w:eastAsia="Times New Roman" w:hAnsi="Calibri" w:cs="Times New Roman"/>
                <w:color w:val="000000"/>
              </w:rPr>
              <w:t>849</w:t>
            </w:r>
          </w:p>
        </w:tc>
      </w:tr>
      <w:tr w:rsidR="00F82646" w:rsidRPr="00D15A0E" w:rsidTr="005D0EA1">
        <w:trPr>
          <w:trHeight w:val="300"/>
        </w:trPr>
        <w:tc>
          <w:tcPr>
            <w:tcW w:w="2020" w:type="dxa"/>
            <w:tcBorders>
              <w:top w:val="nil"/>
              <w:left w:val="nil"/>
              <w:bottom w:val="nil"/>
              <w:right w:val="nil"/>
            </w:tcBorders>
            <w:shd w:val="clear" w:color="auto" w:fill="auto"/>
            <w:noWrap/>
            <w:vAlign w:val="bottom"/>
            <w:hideMark/>
          </w:tcPr>
          <w:p w:rsidR="00F82646" w:rsidRPr="0080430F" w:rsidRDefault="00F82646" w:rsidP="0080430F">
            <w:pPr>
              <w:spacing w:after="0" w:line="240" w:lineRule="auto"/>
              <w:rPr>
                <w:rFonts w:ascii="Calibri" w:eastAsia="Times New Roman" w:hAnsi="Calibri" w:cs="Times New Roman"/>
                <w:color w:val="000000"/>
              </w:rPr>
            </w:pPr>
            <w:r w:rsidRPr="0080430F">
              <w:rPr>
                <w:rFonts w:ascii="Calibri" w:eastAsia="Times New Roman" w:hAnsi="Calibri" w:cs="Times New Roman"/>
                <w:color w:val="000000"/>
              </w:rPr>
              <w:t>6.</w:t>
            </w:r>
            <w:r>
              <w:rPr>
                <w:rFonts w:ascii="Calibri" w:eastAsia="Times New Roman" w:hAnsi="Calibri" w:cs="Times New Roman"/>
                <w:color w:val="000000"/>
              </w:rPr>
              <w:t xml:space="preserve"> </w:t>
            </w:r>
            <w:r w:rsidRPr="0080430F">
              <w:rPr>
                <w:rFonts w:ascii="Calibri" w:eastAsia="Times New Roman" w:hAnsi="Calibri" w:cs="Times New Roman"/>
                <w:color w:val="000000"/>
              </w:rPr>
              <w:t>ILD</w:t>
            </w:r>
          </w:p>
        </w:tc>
        <w:tc>
          <w:tcPr>
            <w:tcW w:w="1560" w:type="dxa"/>
            <w:tcBorders>
              <w:top w:val="nil"/>
              <w:left w:val="nil"/>
              <w:bottom w:val="nil"/>
              <w:right w:val="nil"/>
            </w:tcBorders>
          </w:tcPr>
          <w:p w:rsidR="00F82646" w:rsidRPr="00D15A0E" w:rsidRDefault="00F82646" w:rsidP="0080430F">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32</w:t>
            </w:r>
          </w:p>
        </w:tc>
        <w:tc>
          <w:tcPr>
            <w:tcW w:w="1560" w:type="dxa"/>
            <w:tcBorders>
              <w:top w:val="nil"/>
              <w:left w:val="nil"/>
              <w:bottom w:val="nil"/>
              <w:right w:val="nil"/>
            </w:tcBorders>
            <w:shd w:val="clear" w:color="auto" w:fill="auto"/>
            <w:noWrap/>
            <w:vAlign w:val="bottom"/>
            <w:hideMark/>
          </w:tcPr>
          <w:p w:rsidR="00F82646" w:rsidRPr="00D15A0E" w:rsidRDefault="00F82646" w:rsidP="0080430F">
            <w:pPr>
              <w:spacing w:after="0" w:line="240" w:lineRule="auto"/>
              <w:jc w:val="right"/>
              <w:rPr>
                <w:rFonts w:ascii="Calibri" w:eastAsia="Times New Roman" w:hAnsi="Calibri" w:cs="Times New Roman"/>
                <w:color w:val="000000"/>
              </w:rPr>
            </w:pPr>
            <w:r w:rsidRPr="00D15A0E">
              <w:rPr>
                <w:rFonts w:ascii="Calibri" w:eastAsia="Times New Roman" w:hAnsi="Calibri" w:cs="Times New Roman"/>
                <w:color w:val="000000"/>
              </w:rPr>
              <w:t>320</w:t>
            </w:r>
          </w:p>
        </w:tc>
      </w:tr>
      <w:tr w:rsidR="00F82646" w:rsidRPr="00D15A0E" w:rsidTr="005D0EA1">
        <w:trPr>
          <w:trHeight w:val="300"/>
        </w:trPr>
        <w:tc>
          <w:tcPr>
            <w:tcW w:w="2020" w:type="dxa"/>
            <w:tcBorders>
              <w:top w:val="nil"/>
              <w:left w:val="nil"/>
              <w:bottom w:val="nil"/>
              <w:right w:val="nil"/>
            </w:tcBorders>
            <w:shd w:val="clear" w:color="auto" w:fill="auto"/>
            <w:noWrap/>
            <w:vAlign w:val="bottom"/>
          </w:tcPr>
          <w:p w:rsidR="00F82646" w:rsidRPr="00D15A0E" w:rsidRDefault="00F82646" w:rsidP="0080430F">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Total </w:t>
            </w:r>
          </w:p>
        </w:tc>
        <w:tc>
          <w:tcPr>
            <w:tcW w:w="1560" w:type="dxa"/>
            <w:tcBorders>
              <w:top w:val="nil"/>
              <w:left w:val="nil"/>
              <w:bottom w:val="nil"/>
              <w:right w:val="nil"/>
            </w:tcBorders>
          </w:tcPr>
          <w:p w:rsidR="00F82646" w:rsidRDefault="00F82646" w:rsidP="0080430F">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476</w:t>
            </w:r>
          </w:p>
        </w:tc>
        <w:tc>
          <w:tcPr>
            <w:tcW w:w="1560" w:type="dxa"/>
            <w:tcBorders>
              <w:top w:val="nil"/>
              <w:left w:val="nil"/>
              <w:bottom w:val="nil"/>
              <w:right w:val="nil"/>
            </w:tcBorders>
            <w:shd w:val="clear" w:color="auto" w:fill="auto"/>
            <w:noWrap/>
            <w:vAlign w:val="bottom"/>
          </w:tcPr>
          <w:p w:rsidR="00F82646" w:rsidRPr="00D15A0E" w:rsidRDefault="00F82646" w:rsidP="0080430F">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2932</w:t>
            </w:r>
          </w:p>
        </w:tc>
      </w:tr>
    </w:tbl>
    <w:p w:rsidR="00C4269F" w:rsidRDefault="00C4269F" w:rsidP="00C4269F"/>
    <w:p w:rsidR="00670CAC" w:rsidRPr="00670CAC" w:rsidRDefault="00F82646">
      <w:pPr>
        <w:rPr>
          <w:b/>
        </w:rPr>
      </w:pPr>
      <w:r>
        <w:t>The numbers associated with the factors are similar to the causes listed above.  The factor labeled “</w:t>
      </w:r>
      <w:r w:rsidR="008A3C47">
        <w:t>5</w:t>
      </w:r>
      <w:r>
        <w:t xml:space="preserve"> </w:t>
      </w:r>
      <w:r w:rsidR="008A3C47">
        <w:t>P/</w:t>
      </w:r>
      <w:r>
        <w:t>F</w:t>
      </w:r>
      <w:r w:rsidR="008A3C47">
        <w:t>A</w:t>
      </w:r>
      <w:r>
        <w:t xml:space="preserve">” stands for </w:t>
      </w:r>
      <w:r w:rsidR="008A3C47">
        <w:t>Perjury/</w:t>
      </w:r>
      <w:r>
        <w:t xml:space="preserve">False </w:t>
      </w:r>
      <w:r w:rsidR="008A3C47">
        <w:t>Accusation</w:t>
      </w:r>
      <w:r w:rsidR="007D41E2">
        <w:t xml:space="preserve"> and is the largest of the six wrongful conviction factors.  This category</w:t>
      </w:r>
      <w:r w:rsidR="002B7AE3">
        <w:t xml:space="preserve"> includes the Snitches category</w:t>
      </w:r>
      <w:r w:rsidR="007D41E2">
        <w:t xml:space="preserve"> (discussed above)</w:t>
      </w:r>
      <w:r w:rsidR="002B7AE3">
        <w:t xml:space="preserve"> as well as those who lodge false accusations as an attempt to punish </w:t>
      </w:r>
      <w:r w:rsidR="007D41E2">
        <w:t xml:space="preserve">someone by making false claims </w:t>
      </w:r>
      <w:r w:rsidR="002B7AE3">
        <w:t>or to avert personal responsibility</w:t>
      </w:r>
      <w:r w:rsidR="007D41E2">
        <w:t xml:space="preserve"> by blaming another</w:t>
      </w:r>
      <w:r w:rsidR="002B7AE3">
        <w:t xml:space="preserve">.  This is </w:t>
      </w:r>
      <w:r w:rsidR="00C4269F">
        <w:t xml:space="preserve">the most common factor in wrongful convictions.  It is </w:t>
      </w:r>
      <w:r w:rsidR="002B7AE3">
        <w:t xml:space="preserve">also the category that would include defendants who cooperate with prosecutors in testifying against innocent persons in exchange for a leniency.  </w:t>
      </w:r>
      <w:r w:rsidR="005D0EA1">
        <w:t>A total of 5</w:t>
      </w:r>
      <w:r w:rsidR="00C4269F">
        <w:t>29 cases include</w:t>
      </w:r>
      <w:r w:rsidR="005D0EA1">
        <w:t xml:space="preserve"> both Official Misconduct and Perjury/False Accusation as</w:t>
      </w:r>
      <w:r w:rsidR="003B4A84">
        <w:t xml:space="preserve"> factors for misconduct and represents </w:t>
      </w:r>
      <w:r w:rsidR="003B4A84" w:rsidRPr="007A35F9">
        <w:rPr>
          <w:b/>
        </w:rPr>
        <w:t>36% of all wrongful convictions in this study</w:t>
      </w:r>
      <w:r w:rsidR="003B4A84">
        <w:t xml:space="preserve">.  </w:t>
      </w:r>
      <w:r w:rsidR="005D0EA1">
        <w:t>These 529 cases represent 75.6% of all Official Misconduct cases and 62.3% of all Perjury/False Accusation cases</w:t>
      </w:r>
      <w:r w:rsidR="003B4A84">
        <w:t xml:space="preserve"> and</w:t>
      </w:r>
      <w:r w:rsidR="00670CAC">
        <w:rPr>
          <w:b/>
        </w:rPr>
        <w:t xml:space="preserve"> is the strongest </w:t>
      </w:r>
      <w:r w:rsidR="007D41E2">
        <w:rPr>
          <w:b/>
        </w:rPr>
        <w:t>pairing to be found</w:t>
      </w:r>
      <w:r w:rsidR="00670CAC">
        <w:rPr>
          <w:b/>
        </w:rPr>
        <w:t xml:space="preserve"> between any of the six factors.</w:t>
      </w:r>
    </w:p>
    <w:p w:rsidR="00C4269F" w:rsidRPr="00D15A0E" w:rsidRDefault="00670CAC">
      <w:r>
        <w:t xml:space="preserve">The strong association between Perjury/False Accusation and Official Misconduct suggests that </w:t>
      </w:r>
      <w:r w:rsidR="003B4A84">
        <w:t>a substantial (though as yet, established) number of wrongful convictions could be eliminated if prosecution could not engage in striking deals with co-defen</w:t>
      </w:r>
      <w:r w:rsidR="007A35F9">
        <w:t xml:space="preserve">dants to testify in the absence of other </w:t>
      </w:r>
      <w:r w:rsidR="007D41E2">
        <w:t>corroborating</w:t>
      </w:r>
      <w:r w:rsidR="007A35F9">
        <w:t xml:space="preserve"> evidence.</w:t>
      </w:r>
    </w:p>
    <w:sectPr w:rsidR="00C4269F" w:rsidRPr="00D15A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7F0918"/>
    <w:multiLevelType w:val="hybridMultilevel"/>
    <w:tmpl w:val="86D87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DB2759"/>
    <w:multiLevelType w:val="hybridMultilevel"/>
    <w:tmpl w:val="FED4C356"/>
    <w:lvl w:ilvl="0" w:tplc="D2D01E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A0E"/>
    <w:rsid w:val="002B7AE3"/>
    <w:rsid w:val="003B4A84"/>
    <w:rsid w:val="005D0EA1"/>
    <w:rsid w:val="00667EEE"/>
    <w:rsid w:val="00670CAC"/>
    <w:rsid w:val="007A35F9"/>
    <w:rsid w:val="007D41E2"/>
    <w:rsid w:val="0080430F"/>
    <w:rsid w:val="008A3C47"/>
    <w:rsid w:val="00982FB6"/>
    <w:rsid w:val="009A553A"/>
    <w:rsid w:val="00C4269F"/>
    <w:rsid w:val="00D15A0E"/>
    <w:rsid w:val="00F82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FE1F4"/>
  <w15:chartTrackingRefBased/>
  <w15:docId w15:val="{1A31159D-7047-4A18-B4E4-FF90FB763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5A0E"/>
  </w:style>
  <w:style w:type="paragraph" w:styleId="Heading1">
    <w:name w:val="heading 1"/>
    <w:basedOn w:val="Normal"/>
    <w:next w:val="Normal"/>
    <w:link w:val="Heading1Char"/>
    <w:uiPriority w:val="9"/>
    <w:qFormat/>
    <w:rsid w:val="00D15A0E"/>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D15A0E"/>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D15A0E"/>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D15A0E"/>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D15A0E"/>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D15A0E"/>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D15A0E"/>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15A0E"/>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D15A0E"/>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5A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2">
    <w:name w:val="title2"/>
    <w:basedOn w:val="DefaultParagraphFont"/>
    <w:rsid w:val="00D15A0E"/>
  </w:style>
  <w:style w:type="character" w:styleId="Emphasis">
    <w:name w:val="Emphasis"/>
    <w:basedOn w:val="DefaultParagraphFont"/>
    <w:uiPriority w:val="20"/>
    <w:qFormat/>
    <w:rsid w:val="00D15A0E"/>
    <w:rPr>
      <w:i/>
      <w:iCs/>
      <w:color w:val="auto"/>
    </w:rPr>
  </w:style>
  <w:style w:type="character" w:styleId="Strong">
    <w:name w:val="Strong"/>
    <w:basedOn w:val="DefaultParagraphFont"/>
    <w:uiPriority w:val="22"/>
    <w:qFormat/>
    <w:rsid w:val="00D15A0E"/>
    <w:rPr>
      <w:b/>
      <w:bCs/>
      <w:color w:val="auto"/>
    </w:rPr>
  </w:style>
  <w:style w:type="character" w:customStyle="1" w:styleId="Heading1Char">
    <w:name w:val="Heading 1 Char"/>
    <w:basedOn w:val="DefaultParagraphFont"/>
    <w:link w:val="Heading1"/>
    <w:uiPriority w:val="9"/>
    <w:rsid w:val="00D15A0E"/>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D15A0E"/>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D15A0E"/>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D15A0E"/>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D15A0E"/>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D15A0E"/>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D15A0E"/>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15A0E"/>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D15A0E"/>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D15A0E"/>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D15A0E"/>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D15A0E"/>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D15A0E"/>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D15A0E"/>
    <w:rPr>
      <w:color w:val="5A5A5A" w:themeColor="text1" w:themeTint="A5"/>
      <w:spacing w:val="15"/>
    </w:rPr>
  </w:style>
  <w:style w:type="paragraph" w:styleId="NoSpacing">
    <w:name w:val="No Spacing"/>
    <w:uiPriority w:val="1"/>
    <w:qFormat/>
    <w:rsid w:val="00D15A0E"/>
    <w:pPr>
      <w:spacing w:after="0" w:line="240" w:lineRule="auto"/>
    </w:pPr>
  </w:style>
  <w:style w:type="paragraph" w:styleId="Quote">
    <w:name w:val="Quote"/>
    <w:basedOn w:val="Normal"/>
    <w:next w:val="Normal"/>
    <w:link w:val="QuoteChar"/>
    <w:uiPriority w:val="29"/>
    <w:qFormat/>
    <w:rsid w:val="00D15A0E"/>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D15A0E"/>
    <w:rPr>
      <w:i/>
      <w:iCs/>
      <w:color w:val="404040" w:themeColor="text1" w:themeTint="BF"/>
    </w:rPr>
  </w:style>
  <w:style w:type="paragraph" w:styleId="IntenseQuote">
    <w:name w:val="Intense Quote"/>
    <w:basedOn w:val="Normal"/>
    <w:next w:val="Normal"/>
    <w:link w:val="IntenseQuoteChar"/>
    <w:uiPriority w:val="30"/>
    <w:qFormat/>
    <w:rsid w:val="00D15A0E"/>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D15A0E"/>
    <w:rPr>
      <w:i/>
      <w:iCs/>
      <w:color w:val="404040" w:themeColor="text1" w:themeTint="BF"/>
    </w:rPr>
  </w:style>
  <w:style w:type="character" w:styleId="SubtleEmphasis">
    <w:name w:val="Subtle Emphasis"/>
    <w:basedOn w:val="DefaultParagraphFont"/>
    <w:uiPriority w:val="19"/>
    <w:qFormat/>
    <w:rsid w:val="00D15A0E"/>
    <w:rPr>
      <w:i/>
      <w:iCs/>
      <w:color w:val="404040" w:themeColor="text1" w:themeTint="BF"/>
    </w:rPr>
  </w:style>
  <w:style w:type="character" w:styleId="IntenseEmphasis">
    <w:name w:val="Intense Emphasis"/>
    <w:basedOn w:val="DefaultParagraphFont"/>
    <w:uiPriority w:val="21"/>
    <w:qFormat/>
    <w:rsid w:val="00D15A0E"/>
    <w:rPr>
      <w:b/>
      <w:bCs/>
      <w:i/>
      <w:iCs/>
      <w:color w:val="auto"/>
    </w:rPr>
  </w:style>
  <w:style w:type="character" w:styleId="SubtleReference">
    <w:name w:val="Subtle Reference"/>
    <w:basedOn w:val="DefaultParagraphFont"/>
    <w:uiPriority w:val="31"/>
    <w:qFormat/>
    <w:rsid w:val="00D15A0E"/>
    <w:rPr>
      <w:smallCaps/>
      <w:color w:val="404040" w:themeColor="text1" w:themeTint="BF"/>
    </w:rPr>
  </w:style>
  <w:style w:type="character" w:styleId="IntenseReference">
    <w:name w:val="Intense Reference"/>
    <w:basedOn w:val="DefaultParagraphFont"/>
    <w:uiPriority w:val="32"/>
    <w:qFormat/>
    <w:rsid w:val="00D15A0E"/>
    <w:rPr>
      <w:b/>
      <w:bCs/>
      <w:smallCaps/>
      <w:color w:val="404040" w:themeColor="text1" w:themeTint="BF"/>
      <w:spacing w:val="5"/>
    </w:rPr>
  </w:style>
  <w:style w:type="character" w:styleId="BookTitle">
    <w:name w:val="Book Title"/>
    <w:basedOn w:val="DefaultParagraphFont"/>
    <w:uiPriority w:val="33"/>
    <w:qFormat/>
    <w:rsid w:val="00D15A0E"/>
    <w:rPr>
      <w:b/>
      <w:bCs/>
      <w:i/>
      <w:iCs/>
      <w:spacing w:val="5"/>
    </w:rPr>
  </w:style>
  <w:style w:type="paragraph" w:styleId="TOCHeading">
    <w:name w:val="TOC Heading"/>
    <w:basedOn w:val="Heading1"/>
    <w:next w:val="Normal"/>
    <w:uiPriority w:val="39"/>
    <w:semiHidden/>
    <w:unhideWhenUsed/>
    <w:qFormat/>
    <w:rsid w:val="00D15A0E"/>
    <w:pPr>
      <w:outlineLvl w:val="9"/>
    </w:pPr>
  </w:style>
  <w:style w:type="paragraph" w:styleId="ListParagraph">
    <w:name w:val="List Paragraph"/>
    <w:basedOn w:val="Normal"/>
    <w:uiPriority w:val="34"/>
    <w:qFormat/>
    <w:rsid w:val="0080430F"/>
    <w:pPr>
      <w:ind w:left="720"/>
      <w:contextualSpacing/>
    </w:pPr>
  </w:style>
  <w:style w:type="character" w:styleId="Hyperlink">
    <w:name w:val="Hyperlink"/>
    <w:basedOn w:val="DefaultParagraphFont"/>
    <w:uiPriority w:val="99"/>
    <w:unhideWhenUsed/>
    <w:rsid w:val="007D41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894809">
      <w:bodyDiv w:val="1"/>
      <w:marLeft w:val="0"/>
      <w:marRight w:val="0"/>
      <w:marTop w:val="0"/>
      <w:marBottom w:val="0"/>
      <w:divBdr>
        <w:top w:val="none" w:sz="0" w:space="0" w:color="auto"/>
        <w:left w:val="none" w:sz="0" w:space="0" w:color="auto"/>
        <w:bottom w:val="none" w:sz="0" w:space="0" w:color="auto"/>
        <w:right w:val="none" w:sz="0" w:space="0" w:color="auto"/>
      </w:divBdr>
      <w:divsChild>
        <w:div w:id="790710719">
          <w:marLeft w:val="0"/>
          <w:marRight w:val="0"/>
          <w:marTop w:val="0"/>
          <w:marBottom w:val="0"/>
          <w:divBdr>
            <w:top w:val="none" w:sz="0" w:space="0" w:color="auto"/>
            <w:left w:val="none" w:sz="0" w:space="0" w:color="auto"/>
            <w:bottom w:val="none" w:sz="0" w:space="0" w:color="auto"/>
            <w:right w:val="none" w:sz="0" w:space="0" w:color="auto"/>
          </w:divBdr>
          <w:divsChild>
            <w:div w:id="507141811">
              <w:marLeft w:val="0"/>
              <w:marRight w:val="0"/>
              <w:marTop w:val="0"/>
              <w:marBottom w:val="0"/>
              <w:divBdr>
                <w:top w:val="none" w:sz="0" w:space="0" w:color="auto"/>
                <w:left w:val="none" w:sz="0" w:space="0" w:color="auto"/>
                <w:bottom w:val="none" w:sz="0" w:space="0" w:color="auto"/>
                <w:right w:val="none" w:sz="0" w:space="0" w:color="auto"/>
              </w:divBdr>
              <w:divsChild>
                <w:div w:id="648359756">
                  <w:marLeft w:val="0"/>
                  <w:marRight w:val="0"/>
                  <w:marTop w:val="0"/>
                  <w:marBottom w:val="0"/>
                  <w:divBdr>
                    <w:top w:val="none" w:sz="0" w:space="0" w:color="auto"/>
                    <w:left w:val="none" w:sz="0" w:space="0" w:color="auto"/>
                    <w:bottom w:val="none" w:sz="0" w:space="0" w:color="auto"/>
                    <w:right w:val="none" w:sz="0" w:space="0" w:color="auto"/>
                  </w:divBdr>
                  <w:divsChild>
                    <w:div w:id="640616573">
                      <w:marLeft w:val="0"/>
                      <w:marRight w:val="0"/>
                      <w:marTop w:val="0"/>
                      <w:marBottom w:val="0"/>
                      <w:divBdr>
                        <w:top w:val="none" w:sz="0" w:space="0" w:color="auto"/>
                        <w:left w:val="none" w:sz="0" w:space="0" w:color="auto"/>
                        <w:bottom w:val="none" w:sz="0" w:space="0" w:color="auto"/>
                        <w:right w:val="none" w:sz="0" w:space="0" w:color="auto"/>
                      </w:divBdr>
                      <w:divsChild>
                        <w:div w:id="1056978432">
                          <w:marLeft w:val="0"/>
                          <w:marRight w:val="0"/>
                          <w:marTop w:val="0"/>
                          <w:marBottom w:val="0"/>
                          <w:divBdr>
                            <w:top w:val="none" w:sz="0" w:space="0" w:color="auto"/>
                            <w:left w:val="none" w:sz="0" w:space="0" w:color="auto"/>
                            <w:bottom w:val="none" w:sz="0" w:space="0" w:color="auto"/>
                            <w:right w:val="none" w:sz="0" w:space="0" w:color="auto"/>
                          </w:divBdr>
                          <w:divsChild>
                            <w:div w:id="528447848">
                              <w:marLeft w:val="0"/>
                              <w:marRight w:val="0"/>
                              <w:marTop w:val="0"/>
                              <w:marBottom w:val="0"/>
                              <w:divBdr>
                                <w:top w:val="none" w:sz="0" w:space="0" w:color="auto"/>
                                <w:left w:val="none" w:sz="0" w:space="0" w:color="auto"/>
                                <w:bottom w:val="none" w:sz="0" w:space="0" w:color="auto"/>
                                <w:right w:val="none" w:sz="0" w:space="0" w:color="auto"/>
                              </w:divBdr>
                              <w:divsChild>
                                <w:div w:id="326061169">
                                  <w:marLeft w:val="0"/>
                                  <w:marRight w:val="300"/>
                                  <w:marTop w:val="3675"/>
                                  <w:marBottom w:val="0"/>
                                  <w:divBdr>
                                    <w:top w:val="none" w:sz="0" w:space="0" w:color="auto"/>
                                    <w:left w:val="none" w:sz="0" w:space="0" w:color="auto"/>
                                    <w:bottom w:val="none" w:sz="0" w:space="0" w:color="auto"/>
                                    <w:right w:val="none" w:sz="0" w:space="0" w:color="auto"/>
                                  </w:divBdr>
                                  <w:divsChild>
                                    <w:div w:id="566888462">
                                      <w:marLeft w:val="0"/>
                                      <w:marRight w:val="0"/>
                                      <w:marTop w:val="0"/>
                                      <w:marBottom w:val="0"/>
                                      <w:divBdr>
                                        <w:top w:val="none" w:sz="0" w:space="0" w:color="auto"/>
                                        <w:left w:val="none" w:sz="0" w:space="0" w:color="auto"/>
                                        <w:bottom w:val="none" w:sz="0" w:space="0" w:color="auto"/>
                                        <w:right w:val="none" w:sz="0" w:space="0" w:color="auto"/>
                                      </w:divBdr>
                                      <w:divsChild>
                                        <w:div w:id="195443415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834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aw.umich.edu/clinical/innocenceclinic/Pages/wrongfulconvictions.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2</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Cuvelier</dc:creator>
  <cp:keywords/>
  <dc:description/>
  <cp:lastModifiedBy>Steven Cuvelier</cp:lastModifiedBy>
  <cp:revision>1</cp:revision>
  <dcterms:created xsi:type="dcterms:W3CDTF">2016-08-13T03:52:00Z</dcterms:created>
  <dcterms:modified xsi:type="dcterms:W3CDTF">2016-08-13T08:50:00Z</dcterms:modified>
</cp:coreProperties>
</file>